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1A7C" w:rsidRDefault="00241A7C" w:rsidP="00165B45">
      <w:pPr>
        <w:tabs>
          <w:tab w:val="left" w:pos="2977"/>
        </w:tabs>
        <w:rPr>
          <w:b/>
        </w:rPr>
      </w:pPr>
      <w:bookmarkStart w:id="0" w:name="_GoBack"/>
      <w:bookmarkEnd w:id="0"/>
      <w:r>
        <w:rPr>
          <w:noProof/>
          <w:lang w:eastAsia="zh-TW"/>
        </w:rPr>
        <w:drawing>
          <wp:anchor distT="0" distB="0" distL="114300" distR="114300" simplePos="0" relativeHeight="251659264" behindDoc="1" locked="0" layoutInCell="1" allowOverlap="1" wp14:anchorId="4127D44A" wp14:editId="3007FE9D">
            <wp:simplePos x="0" y="0"/>
            <wp:positionH relativeFrom="column">
              <wp:posOffset>3943350</wp:posOffset>
            </wp:positionH>
            <wp:positionV relativeFrom="paragraph">
              <wp:posOffset>-486410</wp:posOffset>
            </wp:positionV>
            <wp:extent cx="1819275" cy="771525"/>
            <wp:effectExtent l="0" t="0" r="9525" b="952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19275" cy="771525"/>
                    </a:xfrm>
                    <a:prstGeom prst="rect">
                      <a:avLst/>
                    </a:prstGeom>
                    <a:noFill/>
                  </pic:spPr>
                </pic:pic>
              </a:graphicData>
            </a:graphic>
            <wp14:sizeRelH relativeFrom="page">
              <wp14:pctWidth>0</wp14:pctWidth>
            </wp14:sizeRelH>
            <wp14:sizeRelV relativeFrom="page">
              <wp14:pctHeight>0</wp14:pctHeight>
            </wp14:sizeRelV>
          </wp:anchor>
        </w:drawing>
      </w:r>
    </w:p>
    <w:p w:rsidR="00675F7A" w:rsidRDefault="00675F7A" w:rsidP="00165B45">
      <w:pPr>
        <w:tabs>
          <w:tab w:val="left" w:pos="2977"/>
        </w:tabs>
        <w:rPr>
          <w:b/>
          <w:color w:val="E547C7"/>
          <w:sz w:val="28"/>
          <w:szCs w:val="28"/>
        </w:rPr>
      </w:pPr>
    </w:p>
    <w:p w:rsidR="00775752" w:rsidRPr="00241A7C" w:rsidRDefault="00775752" w:rsidP="00165B45">
      <w:pPr>
        <w:tabs>
          <w:tab w:val="left" w:pos="2977"/>
        </w:tabs>
        <w:rPr>
          <w:b/>
          <w:color w:val="E547C7"/>
          <w:sz w:val="28"/>
          <w:szCs w:val="28"/>
        </w:rPr>
      </w:pPr>
      <w:r w:rsidRPr="00241A7C">
        <w:rPr>
          <w:b/>
          <w:color w:val="E547C7"/>
          <w:sz w:val="28"/>
          <w:szCs w:val="28"/>
        </w:rPr>
        <w:t>Informatie heffing Diergezondheidsfonds</w:t>
      </w:r>
    </w:p>
    <w:p w:rsidR="00775752" w:rsidRDefault="00775752" w:rsidP="00775752">
      <w:r>
        <w:t>Tot het jaar 2014 betaalden varkenshouders een heffing per geslacht of geëxporteerd varken voor het Diergezondheidsfonds, via de toenmalige Productschappen voor Vee, Vlees en Eieren. Uit dit fonds krijgen veehouders een vergoeding indien hun bedrijf wordt geruimd bij een dierziekte uitb</w:t>
      </w:r>
      <w:r w:rsidR="000248DD">
        <w:t>raak (KVP, MKZ, AVP, Aujeszky).</w:t>
      </w:r>
      <w:r>
        <w:t xml:space="preserve"> Uit het fonds wordt ook de </w:t>
      </w:r>
      <w:r w:rsidR="000248DD">
        <w:t xml:space="preserve">bijdrage van de sector voor de </w:t>
      </w:r>
      <w:r>
        <w:t xml:space="preserve">diergezondheidsmonitoring betaald. </w:t>
      </w:r>
      <w:r w:rsidR="00165B45">
        <w:t xml:space="preserve">Het convenant Diergezondheidsfonds schrijft voor dat sectoren reserves opbouwen, zodat bij een uitbraak de getroffen varkenshouders direct kunnen worden uitbetaald. Tussen 2014 en 2019 </w:t>
      </w:r>
      <w:r>
        <w:t>hebben varkenshouders geen</w:t>
      </w:r>
      <w:r w:rsidR="000248DD">
        <w:t xml:space="preserve"> bijdrage betaald omdat er nog </w:t>
      </w:r>
      <w:r>
        <w:t>voldoende reserves in het fonds zaten en er geen uitbraken van aangifteplichtige dierziekten zijn geweest. De reserves, die de afgelopen jaren zijn beheerd door de POV zijn inmiddels opgebruikt</w:t>
      </w:r>
      <w:r w:rsidR="00165B45">
        <w:t>, waardoor in 2019 weer bijdrages van varkenshouders zijn geïnd.</w:t>
      </w:r>
      <w:r w:rsidR="00317598">
        <w:t xml:space="preserve"> </w:t>
      </w:r>
      <w:r>
        <w:t xml:space="preserve">RVO is nu de partij, die het geld bij de varkenshouders </w:t>
      </w:r>
      <w:r w:rsidR="00E72F3A">
        <w:t>int</w:t>
      </w:r>
      <w:r w:rsidR="00241A7C">
        <w:t xml:space="preserve">. </w:t>
      </w:r>
    </w:p>
    <w:p w:rsidR="00241A7C" w:rsidRPr="00675F7A" w:rsidRDefault="00775752" w:rsidP="00675F7A">
      <w:pPr>
        <w:pStyle w:val="Geenafstand"/>
        <w:rPr>
          <w:b/>
          <w:color w:val="E547C7"/>
        </w:rPr>
      </w:pPr>
      <w:r w:rsidRPr="00675F7A">
        <w:rPr>
          <w:b/>
          <w:color w:val="E547C7"/>
        </w:rPr>
        <w:t>Waarom een Diergezondheidsfonds?</w:t>
      </w:r>
    </w:p>
    <w:p w:rsidR="00775752" w:rsidRPr="00241A7C" w:rsidRDefault="00775752" w:rsidP="00675F7A">
      <w:pPr>
        <w:pStyle w:val="Geenafstand"/>
      </w:pPr>
      <w:r>
        <w:t>Het Diergezondheidsfonds is ingesteld in het jaar 2000, als reactie op de uitbraak van varkenspest in de jaren 1997 en 1998. Deze uitbraak heeft enorme schade toegebracht aan de varkenshouderij. Voor de uitbraak (1996) waren er in Nederland 21.245 varkensbedrijven, in 2000 waren hier nog 14.524 bedrijven van over (CBS). De berekende, directe kosten voor de varkenshouders werden geschat op € 403 miljoen, de totale schade op € 2,2 mi</w:t>
      </w:r>
      <w:r w:rsidR="00241A7C">
        <w:t>ljard.</w:t>
      </w:r>
    </w:p>
    <w:p w:rsidR="00775752" w:rsidRDefault="00775752" w:rsidP="00675F7A">
      <w:pPr>
        <w:pStyle w:val="Geenafstand"/>
      </w:pPr>
      <w:r>
        <w:t>De overheid en het landbouwbedrijfsleven wilden zoiets niet nog een keer meemaken en besloten afspraken te maken over de vergoeding van de kosten. Het is heel belangrijk om van tevoren af te spreken wie welke kosten betaalt, zodat bo</w:t>
      </w:r>
      <w:r w:rsidR="000248DD">
        <w:t xml:space="preserve">eren, die ‘het noodlot’ treft, </w:t>
      </w:r>
      <w:r>
        <w:t xml:space="preserve">schadeloos worden gesteld voor de directe kosten van het ruimen </w:t>
      </w:r>
      <w:r>
        <w:lastRenderedPageBreak/>
        <w:t xml:space="preserve">van hun bedrijf. Afgesproken is dat de diersectoren een deel van de kosten betalen, tot een afgesproken maximum. Deze plafonds zijn vastgelegd in het convenant Diergezondheidsfonds. Over </w:t>
      </w:r>
      <w:r w:rsidR="00241A7C">
        <w:t xml:space="preserve">de hoogte van </w:t>
      </w:r>
      <w:r>
        <w:t xml:space="preserve">deze plafonds wordt elke vijf jaar onderhandeld. </w:t>
      </w:r>
    </w:p>
    <w:p w:rsidR="00FE04BE" w:rsidRDefault="00775752" w:rsidP="00675F7A">
      <w:pPr>
        <w:pStyle w:val="Geenafstand"/>
      </w:pPr>
      <w:r>
        <w:t xml:space="preserve">Voor de periode 2020-2024 zijn de plafondbedragen voor de </w:t>
      </w:r>
      <w:r w:rsidR="00FE04BE">
        <w:t xml:space="preserve">Klassieke Varkenspest en Mond en Klauwzeer vastgelegd op 41 miljoen euro. Voor AVP betreft dit 22 miljoen euro. De plafonds zijn ten opzichte van de vorige convenant periode opnieuw verlaagd. </w:t>
      </w:r>
      <w:r w:rsidR="00DC1CA2">
        <w:t xml:space="preserve">De kosten voor het DGF, zonder dat er sprake is van een uitbraak blijven ver onder deze plafonds. </w:t>
      </w:r>
    </w:p>
    <w:p w:rsidR="00775752" w:rsidRDefault="00775752" w:rsidP="00675F7A">
      <w:pPr>
        <w:pStyle w:val="Geenafstand"/>
      </w:pPr>
      <w:r>
        <w:t xml:space="preserve">In het </w:t>
      </w:r>
      <w:r w:rsidR="000E2B32">
        <w:t xml:space="preserve">vorige </w:t>
      </w:r>
      <w:r>
        <w:t xml:space="preserve">convenant is vastgelegd dat de varkenshouderij € 9,8 miljoen aan crisisreserves beschikbaar moet hebben. De afspraak is gemaakt dat deze reserves in 2019 en 2020 worden opgebouwd. </w:t>
      </w:r>
    </w:p>
    <w:p w:rsidR="00675F7A" w:rsidRDefault="00675F7A" w:rsidP="00675F7A">
      <w:pPr>
        <w:pStyle w:val="Geenafstand"/>
      </w:pPr>
    </w:p>
    <w:p w:rsidR="00317598" w:rsidRPr="00675F7A" w:rsidRDefault="00317598" w:rsidP="00675F7A">
      <w:pPr>
        <w:pStyle w:val="Geenafstand"/>
        <w:rPr>
          <w:b/>
          <w:color w:val="E547C7"/>
        </w:rPr>
      </w:pPr>
      <w:r w:rsidRPr="00675F7A">
        <w:rPr>
          <w:b/>
          <w:color w:val="E547C7"/>
        </w:rPr>
        <w:t>Wat is de positie van de POV?</w:t>
      </w:r>
    </w:p>
    <w:p w:rsidR="00675F7A" w:rsidRDefault="00775752" w:rsidP="00675F7A">
      <w:pPr>
        <w:pStyle w:val="Geenafstand"/>
      </w:pPr>
      <w:r>
        <w:t>De</w:t>
      </w:r>
      <w:r w:rsidR="00241A7C">
        <w:t xml:space="preserve"> POV staat achter de afspraken </w:t>
      </w:r>
      <w:r>
        <w:t xml:space="preserve">die zijn vastgelegd in het Diergezondheidsfonds. We praten mee over de uitvoering. Zonder convenant zijn </w:t>
      </w:r>
      <w:r w:rsidR="00241A7C">
        <w:t xml:space="preserve">er geen afspraken over plafonds en bepaald de overheid hoeveel varkenshouders bij een uitbraak aan het fonds moeten betalen. </w:t>
      </w:r>
      <w:r>
        <w:t>Wij zien het zo dat varkenshouders door hun financiële bijdrage een ‘verzekeringspremie’ betalen met een eigen</w:t>
      </w:r>
      <w:r w:rsidR="00165B45">
        <w:t xml:space="preserve"> </w:t>
      </w:r>
      <w:r w:rsidR="000248DD">
        <w:t xml:space="preserve">risico (plafond). </w:t>
      </w:r>
      <w:r>
        <w:t>De POV wil deze ‘verzekeringspremie’ voor de v</w:t>
      </w:r>
      <w:r w:rsidR="000248DD">
        <w:t xml:space="preserve">arkenshouders zo laag mogelijk </w:t>
      </w:r>
      <w:r>
        <w:t xml:space="preserve">houden. De POV is partij in het convenant en praat dus mee </w:t>
      </w:r>
      <w:r w:rsidR="00241A7C">
        <w:t xml:space="preserve">over de hoogte van de heffingen </w:t>
      </w:r>
      <w:r>
        <w:t>en bewaakt de uitgaven, die vanuit het fonds worden gedaan.</w:t>
      </w:r>
    </w:p>
    <w:p w:rsidR="00675F7A" w:rsidRDefault="00675F7A" w:rsidP="00675F7A">
      <w:pPr>
        <w:pStyle w:val="Geenafstand"/>
      </w:pPr>
    </w:p>
    <w:p w:rsidR="0084417F" w:rsidRPr="00675F7A" w:rsidRDefault="0084417F" w:rsidP="00675F7A">
      <w:pPr>
        <w:pStyle w:val="Geenafstand"/>
        <w:rPr>
          <w:b/>
          <w:color w:val="E547C7"/>
        </w:rPr>
      </w:pPr>
      <w:r w:rsidRPr="00675F7A">
        <w:rPr>
          <w:b/>
          <w:color w:val="E547C7"/>
        </w:rPr>
        <w:t>Risico’s wilde zwijnen</w:t>
      </w:r>
    </w:p>
    <w:p w:rsidR="0084417F" w:rsidRPr="0084417F" w:rsidRDefault="0084417F" w:rsidP="00675F7A">
      <w:pPr>
        <w:pStyle w:val="Geenafstand"/>
        <w:rPr>
          <w:i/>
        </w:rPr>
      </w:pPr>
      <w:r w:rsidRPr="0084417F">
        <w:t>AVP is vanaf 2014 geïntroduceerd in enkele lidstaten van de EU en sindsdien verspreid naar in totaal negen andere lidstaten. De dreiging voor verdere verspreiding neemt toe. Wilde zwijnen vormen een risicofactor bij introductie en verspreiding van AVP.</w:t>
      </w:r>
      <w:r>
        <w:t xml:space="preserve"> De POV maakt zich zorgen over de alsmaar toenemende zwijnenstand. </w:t>
      </w:r>
      <w:r w:rsidRPr="0084417F">
        <w:t xml:space="preserve">Bij het afsluiten van het Convenant DGF </w:t>
      </w:r>
      <w:r w:rsidR="00241A7C">
        <w:t xml:space="preserve">voor de periode 2020-2024 </w:t>
      </w:r>
      <w:r w:rsidRPr="0084417F">
        <w:t xml:space="preserve">was voor de POV beheer van wilde zwijnen </w:t>
      </w:r>
      <w:r w:rsidRPr="0084417F">
        <w:lastRenderedPageBreak/>
        <w:t xml:space="preserve">(substantiële reductie van de aanwezige wilde zwijnen stapels) een ‘breekpunt’ om tot accordering van het convenant te komen. </w:t>
      </w:r>
      <w:r>
        <w:t xml:space="preserve">De POV heeft uiteindelijk een akkoord bereikt met LNV over de onderstaande passage in het Convenant. </w:t>
      </w:r>
    </w:p>
    <w:p w:rsidR="0084417F" w:rsidRDefault="0084417F" w:rsidP="00675F7A">
      <w:pPr>
        <w:pStyle w:val="Geenafstand"/>
        <w:rPr>
          <w:i/>
        </w:rPr>
      </w:pPr>
      <w:r w:rsidRPr="0084417F">
        <w:rPr>
          <w:i/>
        </w:rPr>
        <w:t>In verband met de verspreiding van Afrikaanse varkenspest in de Europese Unie wordt een taskforce ingesteld. Deelnemers aan deze taskforce zijn vertegenwoordigers van sectorpartij 4 (POV), de provincies Noord-Brabant, Limburg, Gelderland en Overijssel, het ministerie van LNV en natuurorganisatie(s). Deze taskforce zal een Roadmap Strategische aanpak Afrikaanse varkenspest opstellen. Het doel van de Roadmap is acties uit te werken gericht op het zoveel mogelijk reduceren van de risico’s van introductie van Afrikaanse Varkenspest in gehouden varkens en wilde zwijnen. De inzet met betrekking tot wilde zwijnen zal met name gericht zijn op een substantiële reductie van het aantal wilde zwijnen buiten de leefgebieden. De minister, sectorpartij 4 en de vier provincies committeren zich aan de uitvoering van de acties in de Roadmap op het gebied van preventie van introductie van Afrikaanse varkenspest</w:t>
      </w:r>
      <w:r>
        <w:rPr>
          <w:i/>
        </w:rPr>
        <w:t>.</w:t>
      </w:r>
    </w:p>
    <w:p w:rsidR="0084417F" w:rsidRDefault="0084417F" w:rsidP="00675F7A">
      <w:pPr>
        <w:pStyle w:val="Geenafstand"/>
      </w:pPr>
      <w:r>
        <w:t xml:space="preserve">De POV heeft gerealiseerd dat er in de Roadmap </w:t>
      </w:r>
      <w:r w:rsidRPr="0084417F">
        <w:t xml:space="preserve">heldere en afrekenbare afspraken </w:t>
      </w:r>
      <w:r w:rsidR="00B60DA6">
        <w:t xml:space="preserve">zijn gemaakt voor het beheer </w:t>
      </w:r>
      <w:r w:rsidRPr="0084417F">
        <w:t>van wilde zwijnen. In de R</w:t>
      </w:r>
      <w:r w:rsidR="00241A7C">
        <w:t xml:space="preserve">oadmap </w:t>
      </w:r>
      <w:r w:rsidRPr="0084417F">
        <w:t xml:space="preserve">is een goede basis neergelegd om nu snel en voortvarend aan het werk te gaan met </w:t>
      </w:r>
      <w:r w:rsidR="00B60DA6">
        <w:t>een</w:t>
      </w:r>
      <w:r w:rsidRPr="0084417F">
        <w:t xml:space="preserve"> gebiedsgerichte aanpak </w:t>
      </w:r>
      <w:r w:rsidR="006C56CF">
        <w:t xml:space="preserve">en een forse </w:t>
      </w:r>
      <w:r w:rsidRPr="0084417F">
        <w:t xml:space="preserve">reductie </w:t>
      </w:r>
      <w:r w:rsidR="006C56CF">
        <w:t xml:space="preserve">van de aantallen </w:t>
      </w:r>
      <w:r w:rsidRPr="0084417F">
        <w:t xml:space="preserve">wilde zwijnen. </w:t>
      </w:r>
      <w:r w:rsidR="006C56CF">
        <w:t xml:space="preserve">Hiermee nemen de risico’s voor insleep van AVP via de wilde zwijnenstapels af. ‘Verdunning’ geeft minder risico. </w:t>
      </w:r>
      <w:r w:rsidRPr="0084417F">
        <w:t xml:space="preserve">De POV heeft er vertrouwen in dat </w:t>
      </w:r>
      <w:r w:rsidR="0094427D">
        <w:t>nu</w:t>
      </w:r>
      <w:r w:rsidRPr="0084417F">
        <w:t xml:space="preserve"> de gebiedsplannen snel en concreet </w:t>
      </w:r>
      <w:r w:rsidR="0094427D">
        <w:t xml:space="preserve">kunnen worden </w:t>
      </w:r>
      <w:r w:rsidR="006C56CF">
        <w:t xml:space="preserve">uitgevoerd. </w:t>
      </w:r>
      <w:r w:rsidRPr="0084417F">
        <w:t>Dit vanuit toetsbare doelstellingen waarbij we ook ondersteunings- en escalatieafspraken kunnen maken voor situaties dat er wordt vastgesteld dat de gezamenlijke gebiedsdoelstellingen onvoldoende worden gerealiseerd</w:t>
      </w:r>
      <w:r w:rsidR="0094427D">
        <w:t>.</w:t>
      </w:r>
    </w:p>
    <w:p w:rsidR="00675F7A" w:rsidRPr="0084417F" w:rsidRDefault="00675F7A" w:rsidP="00675F7A">
      <w:pPr>
        <w:pStyle w:val="Geenafstand"/>
      </w:pPr>
    </w:p>
    <w:p w:rsidR="00775752" w:rsidRPr="006C56CF" w:rsidRDefault="00775752" w:rsidP="006C56CF">
      <w:pPr>
        <w:pStyle w:val="Geenafstand"/>
        <w:rPr>
          <w:b/>
          <w:color w:val="E547C7"/>
        </w:rPr>
      </w:pPr>
      <w:r w:rsidRPr="006C56CF">
        <w:rPr>
          <w:b/>
          <w:color w:val="E547C7"/>
        </w:rPr>
        <w:t xml:space="preserve">Wat </w:t>
      </w:r>
      <w:r w:rsidR="00D30508" w:rsidRPr="006C56CF">
        <w:rPr>
          <w:b/>
          <w:color w:val="E547C7"/>
        </w:rPr>
        <w:t xml:space="preserve">betalen </w:t>
      </w:r>
      <w:r w:rsidRPr="006C56CF">
        <w:rPr>
          <w:b/>
          <w:color w:val="E547C7"/>
        </w:rPr>
        <w:t>varkenshouders  aan het Diergezondheidsfonds?</w:t>
      </w:r>
    </w:p>
    <w:p w:rsidR="006A67DC" w:rsidRDefault="00775752" w:rsidP="006C56CF">
      <w:pPr>
        <w:pStyle w:val="Geenafstand"/>
      </w:pPr>
      <w:r>
        <w:t xml:space="preserve">In februari 2019 </w:t>
      </w:r>
      <w:r w:rsidR="002F003E">
        <w:t xml:space="preserve">hebben </w:t>
      </w:r>
      <w:r>
        <w:t>varkenshouders</w:t>
      </w:r>
      <w:r w:rsidR="006A67DC">
        <w:t xml:space="preserve"> voor de eerste keer van RVO </w:t>
      </w:r>
      <w:r>
        <w:t xml:space="preserve">een factuur voor het Diergezondheidsfonds </w:t>
      </w:r>
      <w:r w:rsidR="002F003E">
        <w:t xml:space="preserve">ontvangen </w:t>
      </w:r>
      <w:r>
        <w:t xml:space="preserve">op basis van het aantal afgevoerde varkens. Per afgevoerd varken </w:t>
      </w:r>
      <w:r w:rsidR="002F003E">
        <w:t xml:space="preserve">is </w:t>
      </w:r>
      <w:r w:rsidR="00D27B3C">
        <w:t xml:space="preserve">over 2018 </w:t>
      </w:r>
      <w:r>
        <w:t xml:space="preserve">€ 0,1967 (een kleine 20 cent) in rekening gebracht voor het fonds. </w:t>
      </w:r>
    </w:p>
    <w:p w:rsidR="001E14D6" w:rsidRDefault="006A67DC" w:rsidP="006C56CF">
      <w:pPr>
        <w:pStyle w:val="Geenafstand"/>
      </w:pPr>
      <w:r>
        <w:lastRenderedPageBreak/>
        <w:t>Voor de heffing over 2019 zullen medio maart 2020 d</w:t>
      </w:r>
      <w:r w:rsidR="00A4625E">
        <w:t xml:space="preserve">e </w:t>
      </w:r>
      <w:r w:rsidR="00A4625E" w:rsidRPr="00A4625E">
        <w:t xml:space="preserve">beschikkingen met overzicht en factuur </w:t>
      </w:r>
      <w:r>
        <w:t xml:space="preserve">bij de varkenshouders </w:t>
      </w:r>
      <w:r w:rsidR="006C56CF">
        <w:t xml:space="preserve">op de mat </w:t>
      </w:r>
      <w:r w:rsidR="00A4625E" w:rsidRPr="00A4625E">
        <w:t>vallen.</w:t>
      </w:r>
      <w:r>
        <w:t xml:space="preserve"> Basis voor de heffing is het aantal verplaatsingen van varkens dat in 2019 heeft plaatsgevonden</w:t>
      </w:r>
      <w:r w:rsidR="001E14D6">
        <w:t>.</w:t>
      </w:r>
      <w:r w:rsidR="00D27B3C">
        <w:t xml:space="preserve"> </w:t>
      </w:r>
    </w:p>
    <w:p w:rsidR="006A67DC" w:rsidRPr="006A67DC" w:rsidRDefault="00D27B3C" w:rsidP="006C56CF">
      <w:pPr>
        <w:pStyle w:val="Geenafstand"/>
      </w:pPr>
      <w:r>
        <w:t xml:space="preserve">Over </w:t>
      </w:r>
      <w:r w:rsidR="006A67DC">
        <w:t>2019</w:t>
      </w:r>
      <w:r>
        <w:t xml:space="preserve"> zal de varkenshouderij een bedrag van €</w:t>
      </w:r>
      <w:r w:rsidR="000248DD">
        <w:t xml:space="preserve"> </w:t>
      </w:r>
      <w:r>
        <w:t xml:space="preserve">7.963.000,- moeten opbrengen. </w:t>
      </w:r>
      <w:r w:rsidR="001E14D6" w:rsidRPr="001E14D6">
        <w:t>Dit bedrag is gebaseerd op de b</w:t>
      </w:r>
      <w:r w:rsidR="001E14D6">
        <w:t>egroting van 2019</w:t>
      </w:r>
      <w:r w:rsidR="006C56CF">
        <w:t xml:space="preserve"> die door de POV en LNV is vastgesteld.</w:t>
      </w:r>
      <w:r w:rsidR="001E14D6" w:rsidRPr="001E14D6">
        <w:t xml:space="preserve"> </w:t>
      </w:r>
      <w:r>
        <w:t xml:space="preserve">Dit is bedrag is ongeveer gelijk aan 2018. </w:t>
      </w:r>
      <w:r w:rsidR="006A67DC" w:rsidRPr="006A67DC">
        <w:t xml:space="preserve">Het aantal dieren wordt vastgesteld op basis van de gegevens uit de I&amp;R-databank van RVO. Deze databank wordt gevuld via MijnPOV en Varkenspost op basis van de verplichte meldingen, die varkenshouders moeten doen. </w:t>
      </w:r>
      <w:r w:rsidR="00DC1CA2">
        <w:t>Het is dus belangrijk om deze meldingen snel en accuraat te doen.</w:t>
      </w:r>
    </w:p>
    <w:p w:rsidR="00D30508" w:rsidRDefault="00D27B3C" w:rsidP="006C56CF">
      <w:pPr>
        <w:pStyle w:val="Geenafstand"/>
      </w:pPr>
      <w:r>
        <w:t>In het bedrag zit ook over 2019 een b</w:t>
      </w:r>
      <w:r w:rsidR="00165B45">
        <w:t>ij</w:t>
      </w:r>
      <w:r>
        <w:t xml:space="preserve">drage van € 4.900.000,- voor de opbouw van de crisesreserve. </w:t>
      </w:r>
    </w:p>
    <w:p w:rsidR="00675F7A" w:rsidRDefault="00675F7A" w:rsidP="006C56CF">
      <w:pPr>
        <w:pStyle w:val="Geenafstand"/>
      </w:pPr>
    </w:p>
    <w:p w:rsidR="00675F7A" w:rsidRDefault="00675F7A" w:rsidP="006C56CF">
      <w:pPr>
        <w:pStyle w:val="Geenafstand"/>
      </w:pPr>
      <w:r>
        <w:t>De tarieven over 2019 (factuur maart 2020) zijn als volgt vastgesteld.</w:t>
      </w:r>
    </w:p>
    <w:p w:rsidR="00675F7A" w:rsidRDefault="00675F7A" w:rsidP="006C56CF">
      <w:pPr>
        <w:pStyle w:val="Geenafstand"/>
      </w:pPr>
    </w:p>
    <w:tbl>
      <w:tblPr>
        <w:tblStyle w:val="Tabelraster"/>
        <w:tblW w:w="0" w:type="auto"/>
        <w:tblLook w:val="04A0" w:firstRow="1" w:lastRow="0" w:firstColumn="1" w:lastColumn="0" w:noHBand="0" w:noVBand="1"/>
      </w:tblPr>
      <w:tblGrid>
        <w:gridCol w:w="6799"/>
        <w:gridCol w:w="2263"/>
      </w:tblGrid>
      <w:tr w:rsidR="00312705" w:rsidTr="00312705">
        <w:tc>
          <w:tcPr>
            <w:tcW w:w="6799" w:type="dxa"/>
          </w:tcPr>
          <w:p w:rsidR="00312705" w:rsidRPr="00312705" w:rsidRDefault="00312705" w:rsidP="006C56CF">
            <w:pPr>
              <w:pStyle w:val="Geenafstand"/>
              <w:rPr>
                <w:b/>
                <w:color w:val="E547C7"/>
                <w:sz w:val="20"/>
                <w:szCs w:val="20"/>
              </w:rPr>
            </w:pPr>
            <w:r w:rsidRPr="00312705">
              <w:rPr>
                <w:b/>
                <w:color w:val="E547C7"/>
                <w:sz w:val="20"/>
                <w:szCs w:val="20"/>
              </w:rPr>
              <w:t xml:space="preserve">Type Dier </w:t>
            </w:r>
          </w:p>
        </w:tc>
        <w:tc>
          <w:tcPr>
            <w:tcW w:w="2263" w:type="dxa"/>
          </w:tcPr>
          <w:p w:rsidR="00312705" w:rsidRPr="00312705" w:rsidRDefault="00312705" w:rsidP="006C56CF">
            <w:pPr>
              <w:pStyle w:val="Geenafstand"/>
              <w:rPr>
                <w:b/>
                <w:color w:val="E547C7"/>
                <w:sz w:val="20"/>
                <w:szCs w:val="20"/>
              </w:rPr>
            </w:pPr>
            <w:r w:rsidRPr="00312705">
              <w:rPr>
                <w:b/>
                <w:color w:val="E547C7"/>
                <w:sz w:val="20"/>
                <w:szCs w:val="20"/>
              </w:rPr>
              <w:t>Tarief per afgevoerd dier (€)</w:t>
            </w:r>
          </w:p>
        </w:tc>
      </w:tr>
      <w:tr w:rsidR="00312705" w:rsidRPr="00312705" w:rsidTr="00312705">
        <w:tc>
          <w:tcPr>
            <w:tcW w:w="6799" w:type="dxa"/>
          </w:tcPr>
          <w:p w:rsidR="00312705" w:rsidRPr="00312705" w:rsidRDefault="00312705" w:rsidP="006C56CF">
            <w:pPr>
              <w:pStyle w:val="Geenafstand"/>
              <w:rPr>
                <w:sz w:val="20"/>
                <w:szCs w:val="20"/>
              </w:rPr>
            </w:pPr>
            <w:r w:rsidRPr="00312705">
              <w:rPr>
                <w:sz w:val="20"/>
                <w:szCs w:val="20"/>
              </w:rPr>
              <w:t>Vleesvarken van A- of B-bedrijf, afgevoerd voor slacht of export</w:t>
            </w:r>
          </w:p>
        </w:tc>
        <w:tc>
          <w:tcPr>
            <w:tcW w:w="2263" w:type="dxa"/>
          </w:tcPr>
          <w:p w:rsidR="00312705" w:rsidRPr="00312705" w:rsidRDefault="00312705" w:rsidP="006C56CF">
            <w:pPr>
              <w:pStyle w:val="Geenafstand"/>
              <w:rPr>
                <w:sz w:val="20"/>
                <w:szCs w:val="20"/>
              </w:rPr>
            </w:pPr>
            <w:r w:rsidRPr="00312705">
              <w:rPr>
                <w:sz w:val="20"/>
                <w:szCs w:val="20"/>
              </w:rPr>
              <w:t>0,340</w:t>
            </w:r>
          </w:p>
        </w:tc>
      </w:tr>
      <w:tr w:rsidR="00312705" w:rsidRPr="00312705" w:rsidTr="00312705">
        <w:tc>
          <w:tcPr>
            <w:tcW w:w="6799" w:type="dxa"/>
          </w:tcPr>
          <w:p w:rsidR="00312705" w:rsidRPr="00312705" w:rsidRDefault="00312705" w:rsidP="006C56CF">
            <w:pPr>
              <w:pStyle w:val="Geenafstand"/>
              <w:rPr>
                <w:sz w:val="20"/>
                <w:szCs w:val="20"/>
              </w:rPr>
            </w:pPr>
            <w:r w:rsidRPr="00312705">
              <w:rPr>
                <w:sz w:val="20"/>
                <w:szCs w:val="20"/>
              </w:rPr>
              <w:t>Big van A- of B-bedrijf, afgevoerd naar E- of F-bedrijf</w:t>
            </w:r>
          </w:p>
        </w:tc>
        <w:tc>
          <w:tcPr>
            <w:tcW w:w="2263" w:type="dxa"/>
          </w:tcPr>
          <w:p w:rsidR="00312705" w:rsidRPr="00312705" w:rsidRDefault="00312705" w:rsidP="006C56CF">
            <w:pPr>
              <w:pStyle w:val="Geenafstand"/>
              <w:rPr>
                <w:sz w:val="20"/>
                <w:szCs w:val="20"/>
              </w:rPr>
            </w:pPr>
            <w:r w:rsidRPr="00312705">
              <w:rPr>
                <w:sz w:val="20"/>
                <w:szCs w:val="20"/>
              </w:rPr>
              <w:t>0,120</w:t>
            </w:r>
          </w:p>
        </w:tc>
      </w:tr>
      <w:tr w:rsidR="00312705" w:rsidRPr="00312705" w:rsidTr="00312705">
        <w:tc>
          <w:tcPr>
            <w:tcW w:w="6799" w:type="dxa"/>
          </w:tcPr>
          <w:p w:rsidR="00312705" w:rsidRPr="00312705" w:rsidRDefault="00312705" w:rsidP="006C56CF">
            <w:pPr>
              <w:pStyle w:val="Geenafstand"/>
              <w:rPr>
                <w:sz w:val="20"/>
                <w:szCs w:val="20"/>
              </w:rPr>
            </w:pPr>
            <w:r w:rsidRPr="00312705">
              <w:rPr>
                <w:sz w:val="20"/>
                <w:szCs w:val="20"/>
              </w:rPr>
              <w:t>Zeug, beer of gelt, afgevoerd van A- of B-bedrijf</w:t>
            </w:r>
          </w:p>
        </w:tc>
        <w:tc>
          <w:tcPr>
            <w:tcW w:w="2263" w:type="dxa"/>
          </w:tcPr>
          <w:p w:rsidR="00312705" w:rsidRPr="00312705" w:rsidRDefault="00312705" w:rsidP="006C56CF">
            <w:pPr>
              <w:pStyle w:val="Geenafstand"/>
              <w:rPr>
                <w:sz w:val="20"/>
                <w:szCs w:val="20"/>
              </w:rPr>
            </w:pPr>
            <w:r w:rsidRPr="00312705">
              <w:rPr>
                <w:sz w:val="20"/>
                <w:szCs w:val="20"/>
              </w:rPr>
              <w:t>0,170</w:t>
            </w:r>
          </w:p>
        </w:tc>
      </w:tr>
      <w:tr w:rsidR="00312705" w:rsidRPr="00312705" w:rsidTr="00312705">
        <w:tc>
          <w:tcPr>
            <w:tcW w:w="6799" w:type="dxa"/>
          </w:tcPr>
          <w:p w:rsidR="00312705" w:rsidRPr="00312705" w:rsidRDefault="00312705" w:rsidP="006C56CF">
            <w:pPr>
              <w:pStyle w:val="Geenafstand"/>
              <w:rPr>
                <w:sz w:val="20"/>
                <w:szCs w:val="20"/>
              </w:rPr>
            </w:pPr>
            <w:r w:rsidRPr="00312705">
              <w:rPr>
                <w:sz w:val="20"/>
                <w:szCs w:val="20"/>
              </w:rPr>
              <w:t>Big, afgevoerd van A- of B-bedrijf naar A-, B- of C-bedrijf of voor slacht of export</w:t>
            </w:r>
          </w:p>
        </w:tc>
        <w:tc>
          <w:tcPr>
            <w:tcW w:w="2263" w:type="dxa"/>
          </w:tcPr>
          <w:p w:rsidR="00312705" w:rsidRPr="00312705" w:rsidRDefault="00312705" w:rsidP="006C56CF">
            <w:pPr>
              <w:pStyle w:val="Geenafstand"/>
              <w:rPr>
                <w:sz w:val="20"/>
                <w:szCs w:val="20"/>
              </w:rPr>
            </w:pPr>
            <w:r w:rsidRPr="00312705">
              <w:rPr>
                <w:sz w:val="20"/>
                <w:szCs w:val="20"/>
              </w:rPr>
              <w:t>0,170</w:t>
            </w:r>
          </w:p>
        </w:tc>
      </w:tr>
      <w:tr w:rsidR="00312705" w:rsidRPr="00312705" w:rsidTr="00312705">
        <w:tc>
          <w:tcPr>
            <w:tcW w:w="6799" w:type="dxa"/>
          </w:tcPr>
          <w:p w:rsidR="00312705" w:rsidRPr="00312705" w:rsidRDefault="00312705" w:rsidP="006C56CF">
            <w:pPr>
              <w:pStyle w:val="Geenafstand"/>
              <w:rPr>
                <w:sz w:val="20"/>
                <w:szCs w:val="20"/>
              </w:rPr>
            </w:pPr>
            <w:r w:rsidRPr="00312705">
              <w:rPr>
                <w:sz w:val="20"/>
                <w:szCs w:val="20"/>
              </w:rPr>
              <w:t>Varken</w:t>
            </w:r>
            <w:r w:rsidR="000248DD">
              <w:rPr>
                <w:sz w:val="20"/>
                <w:szCs w:val="20"/>
              </w:rPr>
              <w:t>,</w:t>
            </w:r>
            <w:r w:rsidRPr="00312705">
              <w:rPr>
                <w:sz w:val="20"/>
                <w:szCs w:val="20"/>
              </w:rPr>
              <w:t xml:space="preserve"> </w:t>
            </w:r>
            <w:r w:rsidR="000248DD">
              <w:rPr>
                <w:sz w:val="20"/>
                <w:szCs w:val="20"/>
              </w:rPr>
              <w:t xml:space="preserve">afgevoerd </w:t>
            </w:r>
            <w:r w:rsidRPr="00312705">
              <w:rPr>
                <w:sz w:val="20"/>
                <w:szCs w:val="20"/>
              </w:rPr>
              <w:t>van C- of D-bedrijf</w:t>
            </w:r>
          </w:p>
        </w:tc>
        <w:tc>
          <w:tcPr>
            <w:tcW w:w="2263" w:type="dxa"/>
          </w:tcPr>
          <w:p w:rsidR="00312705" w:rsidRPr="00312705" w:rsidRDefault="00312705" w:rsidP="006C56CF">
            <w:pPr>
              <w:pStyle w:val="Geenafstand"/>
              <w:rPr>
                <w:sz w:val="20"/>
                <w:szCs w:val="20"/>
              </w:rPr>
            </w:pPr>
            <w:r w:rsidRPr="00312705">
              <w:rPr>
                <w:sz w:val="20"/>
                <w:szCs w:val="20"/>
              </w:rPr>
              <w:t>0,170</w:t>
            </w:r>
          </w:p>
        </w:tc>
      </w:tr>
      <w:tr w:rsidR="00312705" w:rsidRPr="00312705" w:rsidTr="00312705">
        <w:tc>
          <w:tcPr>
            <w:tcW w:w="6799" w:type="dxa"/>
          </w:tcPr>
          <w:p w:rsidR="00312705" w:rsidRPr="00312705" w:rsidRDefault="00312705" w:rsidP="006C56CF">
            <w:pPr>
              <w:pStyle w:val="Geenafstand"/>
              <w:rPr>
                <w:sz w:val="20"/>
                <w:szCs w:val="20"/>
              </w:rPr>
            </w:pPr>
            <w:r w:rsidRPr="00312705">
              <w:rPr>
                <w:sz w:val="20"/>
                <w:szCs w:val="20"/>
              </w:rPr>
              <w:t>Varken, afgevoerd van E- of F-bedrijf</w:t>
            </w:r>
          </w:p>
        </w:tc>
        <w:tc>
          <w:tcPr>
            <w:tcW w:w="2263" w:type="dxa"/>
          </w:tcPr>
          <w:p w:rsidR="00312705" w:rsidRPr="00312705" w:rsidRDefault="00312705" w:rsidP="006C56CF">
            <w:pPr>
              <w:pStyle w:val="Geenafstand"/>
              <w:rPr>
                <w:sz w:val="20"/>
                <w:szCs w:val="20"/>
              </w:rPr>
            </w:pPr>
            <w:r w:rsidRPr="00312705">
              <w:rPr>
                <w:sz w:val="20"/>
                <w:szCs w:val="20"/>
              </w:rPr>
              <w:t>0,050</w:t>
            </w:r>
          </w:p>
        </w:tc>
      </w:tr>
    </w:tbl>
    <w:p w:rsidR="00312705" w:rsidRDefault="00312705" w:rsidP="006C56CF">
      <w:pPr>
        <w:pStyle w:val="Geenafstand"/>
      </w:pPr>
    </w:p>
    <w:p w:rsidR="00DB4B3F" w:rsidRPr="00DB4B3F" w:rsidRDefault="00DB4B3F" w:rsidP="00DB4B3F">
      <w:r w:rsidRPr="00DB4B3F">
        <w:t xml:space="preserve">Uitgebreide informatie over de verschillende soorten varkensbedrijven </w:t>
      </w:r>
      <w:r w:rsidR="00CE117C">
        <w:t xml:space="preserve">is te vinden op de RVO pagina </w:t>
      </w:r>
      <w:r w:rsidRPr="00DB4B3F">
        <w:t> </w:t>
      </w:r>
      <w:hyperlink r:id="rId7" w:history="1">
        <w:r w:rsidRPr="00DB4B3F">
          <w:rPr>
            <w:rStyle w:val="Hyperlink"/>
          </w:rPr>
          <w:t>Bedrijfsstatus varken</w:t>
        </w:r>
      </w:hyperlink>
      <w:r w:rsidRPr="00DB4B3F">
        <w:t>.</w:t>
      </w:r>
    </w:p>
    <w:p w:rsidR="006C56CF" w:rsidRPr="006C56CF" w:rsidRDefault="00B23AB4" w:rsidP="006C56CF">
      <w:pPr>
        <w:pStyle w:val="Geenafstand"/>
        <w:rPr>
          <w:b/>
          <w:color w:val="E547C7"/>
        </w:rPr>
      </w:pPr>
      <w:r w:rsidRPr="006C56CF">
        <w:rPr>
          <w:b/>
          <w:color w:val="E547C7"/>
        </w:rPr>
        <w:t>Wat vindt de POV van deze heffing?</w:t>
      </w:r>
    </w:p>
    <w:p w:rsidR="0017799E" w:rsidRDefault="0017799E" w:rsidP="006C56CF">
      <w:pPr>
        <w:pStyle w:val="Geenafstand"/>
      </w:pPr>
      <w:r w:rsidRPr="0017799E">
        <w:t xml:space="preserve">De POV heeft altijd ingezet op een eenvoudige regeling, zodat de uitvoeringskosten, die voor </w:t>
      </w:r>
      <w:r w:rsidR="000248DD">
        <w:t xml:space="preserve">een </w:t>
      </w:r>
      <w:r w:rsidR="00DC1CA2">
        <w:t>groot deel</w:t>
      </w:r>
      <w:r w:rsidRPr="0017799E">
        <w:t xml:space="preserve"> voor rekening van de sector zijn, laag blijven. Daarom is als basis voor de heffing het aantal afgevoerde dieren </w:t>
      </w:r>
      <w:r w:rsidRPr="0017799E">
        <w:lastRenderedPageBreak/>
        <w:t>per UBN-nummer gekozen. Daarmee kun je simpel aansluiten bij het al bestaande systeem van I&amp;R/VVL-meldingen. Er is hierbij geen onderscheid gemaakt tussen afvoer naar een ander UBN-nummer van de varkenshouders zelf of een externe bestemming. Daar is bewust voor gekozen en dat principe staat niet ter discussie.</w:t>
      </w:r>
    </w:p>
    <w:p w:rsidR="006C56CF" w:rsidRPr="006C56CF" w:rsidRDefault="006C56CF" w:rsidP="006C56CF">
      <w:pPr>
        <w:pStyle w:val="Geenafstand"/>
      </w:pPr>
    </w:p>
    <w:p w:rsidR="00B23AB4" w:rsidRPr="00033043" w:rsidRDefault="0017799E" w:rsidP="00775752">
      <w:r w:rsidRPr="006C56CF">
        <w:rPr>
          <w:b/>
          <w:color w:val="E547C7"/>
        </w:rPr>
        <w:t>Is er een evenwichtige kostenverdeling</w:t>
      </w:r>
      <w:r w:rsidR="00B23AB4" w:rsidRPr="006C56CF">
        <w:rPr>
          <w:b/>
          <w:color w:val="E547C7"/>
        </w:rPr>
        <w:t xml:space="preserve"> tussen de verschillende bedrijfstypen</w:t>
      </w:r>
      <w:r w:rsidRPr="006C56CF">
        <w:rPr>
          <w:b/>
          <w:color w:val="E547C7"/>
        </w:rPr>
        <w:t>?</w:t>
      </w:r>
      <w:r w:rsidRPr="006C56CF">
        <w:rPr>
          <w:color w:val="E547C7"/>
        </w:rPr>
        <w:t xml:space="preserve"> </w:t>
      </w:r>
      <w:r w:rsidRPr="0017799E">
        <w:rPr>
          <w:color w:val="FF0000"/>
        </w:rPr>
        <w:br/>
      </w:r>
      <w:r w:rsidRPr="00033043">
        <w:t xml:space="preserve">De POV heeft er </w:t>
      </w:r>
      <w:r w:rsidR="00350382">
        <w:t xml:space="preserve">vorig jaar </w:t>
      </w:r>
      <w:r w:rsidRPr="00033043">
        <w:t xml:space="preserve">met succes voor gepleit om de kostenverdeling over de verschillende diercategorieën en bedrijfsvormen evenwichtig te verdelen op basis van de toegevoegde waarde per schakel. Dit puntensysteem is uitgewerkt en wordt vanaf </w:t>
      </w:r>
      <w:r w:rsidR="00B23AB4" w:rsidRPr="00033043">
        <w:t>20</w:t>
      </w:r>
      <w:r w:rsidR="00CE117C">
        <w:t>19</w:t>
      </w:r>
      <w:r w:rsidR="00B23AB4" w:rsidRPr="00033043">
        <w:t xml:space="preserve"> </w:t>
      </w:r>
      <w:r w:rsidRPr="00033043">
        <w:t xml:space="preserve">toegepast. </w:t>
      </w:r>
      <w:r w:rsidR="00B23AB4" w:rsidRPr="00033043">
        <w:t xml:space="preserve">Helaas was het niet mogelijk om dit systeem ook al </w:t>
      </w:r>
      <w:r w:rsidR="00CE117C">
        <w:t>over 2018</w:t>
      </w:r>
      <w:r w:rsidR="00B23AB4" w:rsidRPr="00033043">
        <w:t xml:space="preserve"> toe te passen. Met name speenbiggen bedrijven werden daardoor</w:t>
      </w:r>
      <w:r w:rsidR="00675F7A">
        <w:t xml:space="preserve"> geconfronteerd met een ‘dubbel</w:t>
      </w:r>
      <w:r w:rsidR="00B23AB4" w:rsidRPr="00033043">
        <w:t>e heffing’. De POV heeft zich met succes ingezet voor een correctiekorting voor deze bedrijven</w:t>
      </w:r>
      <w:r w:rsidR="003815F3">
        <w:t xml:space="preserve"> over 2018</w:t>
      </w:r>
      <w:r w:rsidR="00B23AB4" w:rsidRPr="00033043">
        <w:t xml:space="preserve">. </w:t>
      </w:r>
    </w:p>
    <w:p w:rsidR="00675F7A" w:rsidRPr="00675F7A" w:rsidRDefault="00B23AB4" w:rsidP="00675F7A">
      <w:pPr>
        <w:pStyle w:val="Geenafstand"/>
        <w:rPr>
          <w:b/>
          <w:color w:val="E547C7"/>
        </w:rPr>
      </w:pPr>
      <w:r w:rsidRPr="00675F7A">
        <w:rPr>
          <w:b/>
          <w:color w:val="E547C7"/>
        </w:rPr>
        <w:t xml:space="preserve">Hoe zit de puntensystematiek in elkaar? </w:t>
      </w:r>
    </w:p>
    <w:p w:rsidR="00F779CD" w:rsidRDefault="00F779CD" w:rsidP="00675F7A">
      <w:pPr>
        <w:pStyle w:val="Geenafstand"/>
      </w:pPr>
      <w:r w:rsidRPr="00F779CD">
        <w:t xml:space="preserve">De POV heeft </w:t>
      </w:r>
      <w:r w:rsidR="00033043" w:rsidRPr="00F779CD">
        <w:t xml:space="preserve">een economisch evenwichtig systeem </w:t>
      </w:r>
      <w:r w:rsidRPr="00F779CD">
        <w:t xml:space="preserve">ontwikkeld </w:t>
      </w:r>
      <w:r w:rsidR="00033043" w:rsidRPr="00F779CD">
        <w:t>met als uitgangspunt de toegevoegde waarde per schakel. Kern van het voorstel is dat de afvoer van ieder varken naar een andere locatie (slachthuis, export, varkensbedrijf, rechtstreeks of via een verzamelcentrum) economisch evenwichtig wordt belast. De systematiek is gebaseerd op een totaal aantal punten dat aan een slachtvarken bij afvoer ter slachting wordt toegekend als basis voor de afdracht van de heffing. Voor een slachtvarken gaat het om 10 punten. Waar in de productieketen voorafgaand aan de slacht al eerder verplaatsingen tussen varkensbedrijven hebben plaatsgevonden, worden de voor die afleveringen toegerekende afdrachtpunten in mindering gebracht. Dit leidt tot de volgende afdrachtpunten per levensfase.</w:t>
      </w:r>
    </w:p>
    <w:p w:rsidR="00DB1968" w:rsidRPr="00F779CD" w:rsidRDefault="00DB1968" w:rsidP="00675F7A">
      <w:pPr>
        <w:pStyle w:val="Geenafstand"/>
      </w:pPr>
    </w:p>
    <w:tbl>
      <w:tblPr>
        <w:tblStyle w:val="Tabelraster"/>
        <w:tblW w:w="0" w:type="auto"/>
        <w:tblLook w:val="04A0" w:firstRow="1" w:lastRow="0" w:firstColumn="1" w:lastColumn="0" w:noHBand="0" w:noVBand="1"/>
      </w:tblPr>
      <w:tblGrid>
        <w:gridCol w:w="2167"/>
        <w:gridCol w:w="1340"/>
      </w:tblGrid>
      <w:tr w:rsidR="00F779CD" w:rsidRPr="00F779CD" w:rsidTr="00F779CD">
        <w:trPr>
          <w:trHeight w:val="450"/>
        </w:trPr>
        <w:tc>
          <w:tcPr>
            <w:tcW w:w="0" w:type="auto"/>
          </w:tcPr>
          <w:p w:rsidR="00F779CD" w:rsidRPr="00F779CD" w:rsidRDefault="00F779CD" w:rsidP="00F779CD">
            <w:pPr>
              <w:spacing w:after="160" w:line="259" w:lineRule="auto"/>
              <w:rPr>
                <w:b/>
                <w:color w:val="002060"/>
                <w:sz w:val="20"/>
                <w:szCs w:val="20"/>
              </w:rPr>
            </w:pPr>
            <w:r w:rsidRPr="00F779CD">
              <w:rPr>
                <w:b/>
                <w:color w:val="002060"/>
                <w:sz w:val="20"/>
                <w:szCs w:val="20"/>
              </w:rPr>
              <w:t>Productiefase</w:t>
            </w:r>
          </w:p>
        </w:tc>
        <w:tc>
          <w:tcPr>
            <w:tcW w:w="0" w:type="auto"/>
          </w:tcPr>
          <w:p w:rsidR="00F779CD" w:rsidRPr="00F779CD" w:rsidRDefault="00F779CD" w:rsidP="00F779CD">
            <w:pPr>
              <w:spacing w:after="160" w:line="259" w:lineRule="auto"/>
              <w:rPr>
                <w:b/>
                <w:color w:val="002060"/>
                <w:sz w:val="20"/>
                <w:szCs w:val="20"/>
              </w:rPr>
            </w:pPr>
            <w:r w:rsidRPr="00F779CD">
              <w:rPr>
                <w:b/>
                <w:color w:val="002060"/>
                <w:sz w:val="20"/>
                <w:szCs w:val="20"/>
              </w:rPr>
              <w:t>Netto punten</w:t>
            </w:r>
          </w:p>
        </w:tc>
      </w:tr>
      <w:tr w:rsidR="00F779CD" w:rsidRPr="00F779CD" w:rsidTr="00F779CD">
        <w:trPr>
          <w:trHeight w:val="450"/>
        </w:trPr>
        <w:tc>
          <w:tcPr>
            <w:tcW w:w="0" w:type="auto"/>
          </w:tcPr>
          <w:p w:rsidR="00F779CD" w:rsidRPr="00F779CD" w:rsidRDefault="00F779CD" w:rsidP="00F779CD">
            <w:pPr>
              <w:spacing w:after="160" w:line="259" w:lineRule="auto"/>
              <w:rPr>
                <w:color w:val="002060"/>
                <w:sz w:val="20"/>
                <w:szCs w:val="20"/>
              </w:rPr>
            </w:pPr>
            <w:r w:rsidRPr="00F779CD">
              <w:rPr>
                <w:color w:val="002060"/>
                <w:sz w:val="20"/>
                <w:szCs w:val="20"/>
              </w:rPr>
              <w:t>Speenbiggen</w:t>
            </w:r>
          </w:p>
        </w:tc>
        <w:tc>
          <w:tcPr>
            <w:tcW w:w="0" w:type="auto"/>
          </w:tcPr>
          <w:p w:rsidR="00F779CD" w:rsidRPr="00F779CD" w:rsidRDefault="00F779CD" w:rsidP="00F779CD">
            <w:pPr>
              <w:spacing w:after="160" w:line="259" w:lineRule="auto"/>
              <w:rPr>
                <w:color w:val="002060"/>
                <w:sz w:val="20"/>
                <w:szCs w:val="20"/>
              </w:rPr>
            </w:pPr>
            <w:r w:rsidRPr="00F779CD">
              <w:rPr>
                <w:color w:val="002060"/>
                <w:sz w:val="20"/>
                <w:szCs w:val="20"/>
              </w:rPr>
              <w:t>3,5</w:t>
            </w:r>
          </w:p>
        </w:tc>
      </w:tr>
      <w:tr w:rsidR="00F779CD" w:rsidRPr="00F779CD" w:rsidTr="00F779CD">
        <w:trPr>
          <w:trHeight w:val="450"/>
        </w:trPr>
        <w:tc>
          <w:tcPr>
            <w:tcW w:w="0" w:type="auto"/>
          </w:tcPr>
          <w:p w:rsidR="00F779CD" w:rsidRPr="00F779CD" w:rsidRDefault="00F779CD" w:rsidP="00F779CD">
            <w:pPr>
              <w:spacing w:after="160" w:line="259" w:lineRule="auto"/>
              <w:rPr>
                <w:color w:val="002060"/>
                <w:sz w:val="20"/>
                <w:szCs w:val="20"/>
              </w:rPr>
            </w:pPr>
            <w:r w:rsidRPr="00F779CD">
              <w:rPr>
                <w:color w:val="002060"/>
                <w:sz w:val="20"/>
                <w:szCs w:val="20"/>
              </w:rPr>
              <w:t>Biggenopfok</w:t>
            </w:r>
          </w:p>
        </w:tc>
        <w:tc>
          <w:tcPr>
            <w:tcW w:w="0" w:type="auto"/>
          </w:tcPr>
          <w:p w:rsidR="00F779CD" w:rsidRPr="00F779CD" w:rsidRDefault="00F779CD" w:rsidP="00F779CD">
            <w:pPr>
              <w:spacing w:after="160" w:line="259" w:lineRule="auto"/>
              <w:rPr>
                <w:color w:val="002060"/>
                <w:sz w:val="20"/>
                <w:szCs w:val="20"/>
              </w:rPr>
            </w:pPr>
            <w:r w:rsidRPr="00F779CD">
              <w:rPr>
                <w:color w:val="002060"/>
                <w:sz w:val="20"/>
                <w:szCs w:val="20"/>
              </w:rPr>
              <w:t>1,5</w:t>
            </w:r>
          </w:p>
        </w:tc>
      </w:tr>
      <w:tr w:rsidR="00F779CD" w:rsidRPr="00F779CD" w:rsidTr="00F779CD">
        <w:trPr>
          <w:trHeight w:val="450"/>
        </w:trPr>
        <w:tc>
          <w:tcPr>
            <w:tcW w:w="0" w:type="auto"/>
          </w:tcPr>
          <w:p w:rsidR="00F779CD" w:rsidRPr="00F779CD" w:rsidRDefault="00F779CD" w:rsidP="00F779CD">
            <w:pPr>
              <w:spacing w:after="160" w:line="259" w:lineRule="auto"/>
              <w:rPr>
                <w:color w:val="002060"/>
                <w:sz w:val="20"/>
                <w:szCs w:val="20"/>
              </w:rPr>
            </w:pPr>
            <w:r w:rsidRPr="00F779CD">
              <w:rPr>
                <w:color w:val="002060"/>
                <w:sz w:val="20"/>
                <w:szCs w:val="20"/>
              </w:rPr>
              <w:lastRenderedPageBreak/>
              <w:t>Vleesbig of opfokbig</w:t>
            </w:r>
          </w:p>
        </w:tc>
        <w:tc>
          <w:tcPr>
            <w:tcW w:w="0" w:type="auto"/>
          </w:tcPr>
          <w:p w:rsidR="00F779CD" w:rsidRPr="00F779CD" w:rsidRDefault="00F779CD" w:rsidP="00F779CD">
            <w:pPr>
              <w:spacing w:after="160" w:line="259" w:lineRule="auto"/>
              <w:rPr>
                <w:color w:val="002060"/>
                <w:sz w:val="20"/>
                <w:szCs w:val="20"/>
              </w:rPr>
            </w:pPr>
            <w:r w:rsidRPr="00F779CD">
              <w:rPr>
                <w:color w:val="002060"/>
                <w:sz w:val="20"/>
                <w:szCs w:val="20"/>
              </w:rPr>
              <w:t>5</w:t>
            </w:r>
          </w:p>
        </w:tc>
      </w:tr>
      <w:tr w:rsidR="00F779CD" w:rsidRPr="00F779CD" w:rsidTr="00F779CD">
        <w:trPr>
          <w:trHeight w:val="450"/>
        </w:trPr>
        <w:tc>
          <w:tcPr>
            <w:tcW w:w="0" w:type="auto"/>
          </w:tcPr>
          <w:p w:rsidR="00F779CD" w:rsidRPr="00F779CD" w:rsidRDefault="00F779CD" w:rsidP="00F779CD">
            <w:pPr>
              <w:spacing w:after="160" w:line="259" w:lineRule="auto"/>
              <w:rPr>
                <w:color w:val="002060"/>
                <w:sz w:val="20"/>
                <w:szCs w:val="20"/>
              </w:rPr>
            </w:pPr>
            <w:r w:rsidRPr="00F779CD">
              <w:rPr>
                <w:color w:val="002060"/>
                <w:sz w:val="20"/>
                <w:szCs w:val="20"/>
              </w:rPr>
              <w:t>Vleesvarkens</w:t>
            </w:r>
          </w:p>
        </w:tc>
        <w:tc>
          <w:tcPr>
            <w:tcW w:w="0" w:type="auto"/>
          </w:tcPr>
          <w:p w:rsidR="00F779CD" w:rsidRPr="00F779CD" w:rsidRDefault="00F779CD" w:rsidP="00F779CD">
            <w:pPr>
              <w:spacing w:after="160" w:line="259" w:lineRule="auto"/>
              <w:rPr>
                <w:color w:val="002060"/>
                <w:sz w:val="20"/>
                <w:szCs w:val="20"/>
              </w:rPr>
            </w:pPr>
            <w:r w:rsidRPr="00F779CD">
              <w:rPr>
                <w:color w:val="002060"/>
                <w:sz w:val="20"/>
                <w:szCs w:val="20"/>
              </w:rPr>
              <w:t>5</w:t>
            </w:r>
          </w:p>
        </w:tc>
      </w:tr>
      <w:tr w:rsidR="00F779CD" w:rsidRPr="00F779CD" w:rsidTr="00F779CD">
        <w:trPr>
          <w:trHeight w:val="450"/>
        </w:trPr>
        <w:tc>
          <w:tcPr>
            <w:tcW w:w="0" w:type="auto"/>
          </w:tcPr>
          <w:p w:rsidR="00F779CD" w:rsidRPr="00F779CD" w:rsidRDefault="00F779CD" w:rsidP="00F779CD">
            <w:pPr>
              <w:spacing w:after="160" w:line="259" w:lineRule="auto"/>
              <w:rPr>
                <w:color w:val="002060"/>
                <w:sz w:val="20"/>
                <w:szCs w:val="20"/>
              </w:rPr>
            </w:pPr>
            <w:r w:rsidRPr="00F779CD">
              <w:rPr>
                <w:color w:val="002060"/>
                <w:sz w:val="20"/>
                <w:szCs w:val="20"/>
              </w:rPr>
              <w:t>Opfokzeugen en –beren</w:t>
            </w:r>
          </w:p>
        </w:tc>
        <w:tc>
          <w:tcPr>
            <w:tcW w:w="0" w:type="auto"/>
          </w:tcPr>
          <w:p w:rsidR="00F779CD" w:rsidRPr="00F779CD" w:rsidRDefault="00F779CD" w:rsidP="00F779CD">
            <w:pPr>
              <w:spacing w:after="160" w:line="259" w:lineRule="auto"/>
              <w:rPr>
                <w:color w:val="002060"/>
                <w:sz w:val="20"/>
                <w:szCs w:val="20"/>
              </w:rPr>
            </w:pPr>
            <w:r w:rsidRPr="00F779CD">
              <w:rPr>
                <w:color w:val="002060"/>
                <w:sz w:val="20"/>
                <w:szCs w:val="20"/>
              </w:rPr>
              <w:t>5</w:t>
            </w:r>
          </w:p>
        </w:tc>
      </w:tr>
    </w:tbl>
    <w:p w:rsidR="00DB1968" w:rsidRDefault="00DB1968" w:rsidP="00775752">
      <w:pPr>
        <w:rPr>
          <w:color w:val="002060"/>
        </w:rPr>
      </w:pPr>
    </w:p>
    <w:p w:rsidR="00F779CD" w:rsidRPr="00B23AB4" w:rsidRDefault="00F779CD" w:rsidP="00775752">
      <w:pPr>
        <w:rPr>
          <w:color w:val="002060"/>
        </w:rPr>
      </w:pPr>
      <w:r w:rsidRPr="00F779CD">
        <w:t>Dit voorstel is uitgewerkt door de POV. Het LEI heeft dit voorstel beoordeeld. Het LEI onderschrijft de benadering om van de totale afdrachtpunten voor de helft te verdelen over de bigproductie en de vleesvarkensfase. Ook verdedigt het LEI de toerekening van 1,5 afdrachtpunten aan speenbiggen, in relatie tot de 5 afdrachtspunten voor een big van 25 kg.</w:t>
      </w:r>
    </w:p>
    <w:p w:rsidR="00775752" w:rsidRPr="00DB1968" w:rsidRDefault="00775752" w:rsidP="00DB1968">
      <w:pPr>
        <w:pStyle w:val="Geenafstand"/>
        <w:rPr>
          <w:b/>
          <w:color w:val="E547C7"/>
        </w:rPr>
      </w:pPr>
      <w:r w:rsidRPr="00DB1968">
        <w:rPr>
          <w:b/>
          <w:color w:val="E547C7"/>
        </w:rPr>
        <w:t xml:space="preserve">Welke vaste kosten worden betaald uit het Diergezondheidsfonds?  </w:t>
      </w:r>
    </w:p>
    <w:p w:rsidR="00775752" w:rsidRDefault="00775752" w:rsidP="00DB1968">
      <w:pPr>
        <w:pStyle w:val="Geenafstand"/>
      </w:pPr>
      <w:r>
        <w:t xml:space="preserve">Uit het Diergezondheidsfonds wordt de diergezondheidsmonitor betaald. Die monitor bestaat uit de activiteiten, die de GD uitvoert. Bij de GD komt veel informatie binnen over de diergezondheid: via de inzendingen voor het laboratorium en de sectiezaal, maar ook via het dierenartsenmeldpunt Veekijker en de online monitoring. De GD analyseert deze informatie en heeft daardoor snel zicht op mogelijke ziekte-uitbraken en kan snel actie ondernemen. Hoe sneller een besmettelijke ziekte wordt aangetoond, des te sneller en beter de uitbraak kan worden bestreden. Daarmee blijft de schade voor de sector beperkt. Daar hebben alle varkenshouders en de sector baat bij. </w:t>
      </w:r>
    </w:p>
    <w:p w:rsidR="00DB1968" w:rsidRDefault="00DB1968" w:rsidP="00DB1968">
      <w:pPr>
        <w:pStyle w:val="Geenafstand"/>
      </w:pPr>
    </w:p>
    <w:p w:rsidR="002F003E" w:rsidRDefault="00775752" w:rsidP="00DB1968">
      <w:pPr>
        <w:pStyle w:val="Geenafstand"/>
      </w:pPr>
      <w:r>
        <w:t>Verder zijn er vaste kosten voor bijvoorbeeld het op de plank hebben van een voo</w:t>
      </w:r>
      <w:r w:rsidR="002F003E">
        <w:t>rraad vaccin</w:t>
      </w:r>
      <w:r w:rsidR="000248DD">
        <w:t>s</w:t>
      </w:r>
      <w:r w:rsidR="002F003E">
        <w:t xml:space="preserve"> tegen Klassieke varkenspest, Mond-en-klauwzeer en de Ziekte van Aujeszky</w:t>
      </w:r>
      <w:r>
        <w:t>. Mocht er onverhoopt een uitbraak zijn, dan kan er snel een zogenaamde ringenting (dieren op bedrijven rondom het besmette bedrijf worden geënt) om de be</w:t>
      </w:r>
      <w:r>
        <w:lastRenderedPageBreak/>
        <w:t xml:space="preserve">smettingshaard worden gelegd, zodat het virus zich niet kan verspreiden. Voor het op orde hebben van de voorzieningen voor het onderzoeken van verdenkingen is ook geld nodig en bijvoorbeeld voor het beschikbaar hebben van apparatuur om de besmette varkens </w:t>
      </w:r>
      <w:r w:rsidR="001C6A61">
        <w:t>snel en humaan te kunnen doden.</w:t>
      </w:r>
    </w:p>
    <w:p w:rsidR="00DB1968" w:rsidRDefault="00DB1968" w:rsidP="00DB1968">
      <w:pPr>
        <w:pStyle w:val="Geenafstand"/>
      </w:pPr>
    </w:p>
    <w:p w:rsidR="00656501" w:rsidRDefault="00656501" w:rsidP="00DB1968">
      <w:pPr>
        <w:pStyle w:val="Geenafstand"/>
      </w:pPr>
      <w:r>
        <w:t xml:space="preserve">De vaste kosten DGF worden </w:t>
      </w:r>
      <w:r w:rsidR="00DB1968">
        <w:t xml:space="preserve">grotendeels </w:t>
      </w:r>
      <w:r>
        <w:t>op 50/50 basis tussen overheid en bedrijfsleven gefinancierd.</w:t>
      </w:r>
    </w:p>
    <w:p w:rsidR="00DB1968" w:rsidRPr="001C6A61" w:rsidRDefault="00DB1968" w:rsidP="00DB1968">
      <w:pPr>
        <w:pStyle w:val="Geenafstand"/>
      </w:pPr>
    </w:p>
    <w:p w:rsidR="00775752" w:rsidRPr="00DB1968" w:rsidRDefault="00775752" w:rsidP="00DB1968">
      <w:pPr>
        <w:pStyle w:val="Geenafstand"/>
        <w:rPr>
          <w:b/>
          <w:color w:val="E547C7"/>
        </w:rPr>
      </w:pPr>
      <w:r w:rsidRPr="00DB1968">
        <w:rPr>
          <w:b/>
          <w:color w:val="E547C7"/>
        </w:rPr>
        <w:t>Welke kosten worden vergoed uit het Diergezondheidsfonds bij een ziekte-uitbraak en welke kosten niet?</w:t>
      </w:r>
    </w:p>
    <w:p w:rsidR="00775752" w:rsidRDefault="00775752" w:rsidP="00DB1968">
      <w:pPr>
        <w:pStyle w:val="Geenafstand"/>
      </w:pPr>
      <w:r>
        <w:t xml:space="preserve">Varkenshouders krijgen de directe schade </w:t>
      </w:r>
      <w:r w:rsidR="002F003E">
        <w:t>van</w:t>
      </w:r>
      <w:r>
        <w:t xml:space="preserve"> het ruimen van dieren vergoed. De dieren worden getaxeerd en marktconform uitbetaald. De leegstand van bedrijven, bijvoorbeeld omdat er vanwege vervoersverboden geen dieren opgelegd mogen worden, wordt niet verg</w:t>
      </w:r>
      <w:r w:rsidR="002F003E">
        <w:t xml:space="preserve">oed. Dit </w:t>
      </w:r>
      <w:r w:rsidR="00DB1968">
        <w:t xml:space="preserve">wordt gezien als </w:t>
      </w:r>
      <w:r w:rsidR="002F003E">
        <w:t>een bedrijfsrisico.</w:t>
      </w:r>
    </w:p>
    <w:p w:rsidR="00DB1968" w:rsidRDefault="00DB1968" w:rsidP="00775752">
      <w:pPr>
        <w:rPr>
          <w:color w:val="002060"/>
        </w:rPr>
      </w:pPr>
    </w:p>
    <w:p w:rsidR="00775752" w:rsidRPr="00DB1968" w:rsidRDefault="00775752" w:rsidP="00DB1968">
      <w:pPr>
        <w:pStyle w:val="Geenafstand"/>
        <w:rPr>
          <w:b/>
          <w:color w:val="E547C7"/>
        </w:rPr>
      </w:pPr>
      <w:r w:rsidRPr="00DB1968">
        <w:rPr>
          <w:b/>
          <w:color w:val="E547C7"/>
        </w:rPr>
        <w:t>Hoe hoog wordt de ‘verzekeringspremie’, die alle varkenshouders via het Diergezondheidsfonds betalen?</w:t>
      </w:r>
    </w:p>
    <w:p w:rsidR="00775752" w:rsidRDefault="00775752" w:rsidP="00DB1968">
      <w:pPr>
        <w:pStyle w:val="Geenafstand"/>
      </w:pPr>
      <w:r>
        <w:t>“Na de Varkenspest in 1997 en 1998 is niet alleen een Diergezondheidsfonds ingesteld. Er zijn ook veel maatregelen getroffen om de risico’s voor insleep en verspreiding van dierziekten zoals KVP, MKZ en AVP te verkleinen. Aan de ‘spaghettistructuur’ in de varkenshouderij is een einde gemaakt. Gesloten bedrijven en vaste relaties vormen nu de structuur van de sector. De hygiënemaatregelen op en rond bedrijven zijn geïntensiveerd en het verbeteren van de var</w:t>
      </w:r>
      <w:r w:rsidR="000258CF">
        <w:t xml:space="preserve">kensgezondheid staat centraal. </w:t>
      </w:r>
      <w:r>
        <w:t>Ook liggen de draaiboeken klaar voor het geval er een aangifteplichtige ziekte uitbreekt. Voor de varkenshouderij zijn er draaiboeken voor Klassieke varkenspest, Afrikaanse varkenspest, Mond- en klauwzeer en ziekte van Aujeszky. Door alle maatregelen, die de varkenshouderij heeft genomen, wordt het risico op insleep en verspreiding steeds lager ingeschat. Het nog verder verbeteren van de ‘biosecurity’ en het verhogen van het preventieniveau zijn de beste ‘verzekering’ dat de bijdrage van de varkenshouders aan dit fonds in de komende jaren omlaag kan.”</w:t>
      </w:r>
    </w:p>
    <w:p w:rsidR="00016D79" w:rsidRDefault="00016D79" w:rsidP="00C57D4B">
      <w:pPr>
        <w:rPr>
          <w:color w:val="002060"/>
        </w:rPr>
      </w:pPr>
    </w:p>
    <w:p w:rsidR="0037284B" w:rsidRPr="00DB1968" w:rsidRDefault="0037284B" w:rsidP="00C57D4B">
      <w:pPr>
        <w:rPr>
          <w:b/>
          <w:color w:val="E547C7"/>
        </w:rPr>
      </w:pPr>
      <w:r w:rsidRPr="00DB1968">
        <w:rPr>
          <w:b/>
          <w:color w:val="E547C7"/>
        </w:rPr>
        <w:lastRenderedPageBreak/>
        <w:t>Nadere informatie:</w:t>
      </w:r>
    </w:p>
    <w:p w:rsidR="0037284B" w:rsidRPr="0037284B" w:rsidRDefault="0037284B" w:rsidP="0037284B">
      <w:pPr>
        <w:rPr>
          <w:u w:val="single"/>
        </w:rPr>
      </w:pPr>
      <w:r>
        <w:t>W</w:t>
      </w:r>
      <w:r w:rsidRPr="0037284B">
        <w:t xml:space="preserve">ebsite van RVO. </w:t>
      </w:r>
      <w:hyperlink r:id="rId8" w:history="1">
        <w:r w:rsidRPr="0037284B">
          <w:rPr>
            <w:rStyle w:val="Hyperlink"/>
          </w:rPr>
          <w:t>LINK</w:t>
        </w:r>
      </w:hyperlink>
    </w:p>
    <w:p w:rsidR="0037284B" w:rsidRPr="0037284B" w:rsidRDefault="0037284B" w:rsidP="0037284B">
      <w:r>
        <w:t xml:space="preserve">Informatie video: </w:t>
      </w:r>
    </w:p>
    <w:p w:rsidR="0037284B" w:rsidRPr="0037284B" w:rsidRDefault="008976CC" w:rsidP="0037284B">
      <w:hyperlink r:id="rId9" w:history="1">
        <w:r w:rsidR="00103CEB" w:rsidRPr="00103CEB">
          <w:rPr>
            <w:rStyle w:val="Hyperlink"/>
          </w:rPr>
          <w:t>https://www.youtube.com/watch?v=unYE8mYY6n8</w:t>
        </w:r>
      </w:hyperlink>
    </w:p>
    <w:p w:rsidR="0037284B" w:rsidRDefault="0037284B" w:rsidP="00C57D4B"/>
    <w:sectPr w:rsidR="0037284B" w:rsidSect="00675F7A">
      <w:footerReference w:type="default" r:id="rId10"/>
      <w:pgSz w:w="11906" w:h="16838"/>
      <w:pgMar w:top="1417" w:right="1417"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6A61" w:rsidRDefault="001C6A61" w:rsidP="001C6A61">
      <w:pPr>
        <w:spacing w:after="0" w:line="240" w:lineRule="auto"/>
      </w:pPr>
      <w:r>
        <w:separator/>
      </w:r>
    </w:p>
  </w:endnote>
  <w:endnote w:type="continuationSeparator" w:id="0">
    <w:p w:rsidR="001C6A61" w:rsidRDefault="001C6A61" w:rsidP="001C6A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5578987"/>
      <w:docPartObj>
        <w:docPartGallery w:val="Page Numbers (Bottom of Page)"/>
        <w:docPartUnique/>
      </w:docPartObj>
    </w:sdtPr>
    <w:sdtEndPr/>
    <w:sdtContent>
      <w:p w:rsidR="001C6A61" w:rsidRDefault="001C6A61">
        <w:pPr>
          <w:pStyle w:val="Voettekst"/>
          <w:jc w:val="right"/>
        </w:pPr>
        <w:r>
          <w:fldChar w:fldCharType="begin"/>
        </w:r>
        <w:r>
          <w:instrText>PAGE   \* MERGEFORMAT</w:instrText>
        </w:r>
        <w:r>
          <w:fldChar w:fldCharType="separate"/>
        </w:r>
        <w:r w:rsidR="008976CC">
          <w:rPr>
            <w:noProof/>
          </w:rPr>
          <w:t>1</w:t>
        </w:r>
        <w:r>
          <w:fldChar w:fldCharType="end"/>
        </w:r>
      </w:p>
    </w:sdtContent>
  </w:sdt>
  <w:p w:rsidR="001C6A61" w:rsidRDefault="001C6A61">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6A61" w:rsidRDefault="001C6A61" w:rsidP="001C6A61">
      <w:pPr>
        <w:spacing w:after="0" w:line="240" w:lineRule="auto"/>
      </w:pPr>
      <w:r>
        <w:separator/>
      </w:r>
    </w:p>
  </w:footnote>
  <w:footnote w:type="continuationSeparator" w:id="0">
    <w:p w:rsidR="001C6A61" w:rsidRDefault="001C6A61" w:rsidP="001C6A6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D4B"/>
    <w:rsid w:val="00016D79"/>
    <w:rsid w:val="000248DD"/>
    <w:rsid w:val="000258CF"/>
    <w:rsid w:val="00033043"/>
    <w:rsid w:val="000A5FF5"/>
    <w:rsid w:val="000E2B32"/>
    <w:rsid w:val="000F19B2"/>
    <w:rsid w:val="00103CEB"/>
    <w:rsid w:val="00165B45"/>
    <w:rsid w:val="0017799E"/>
    <w:rsid w:val="001C6A61"/>
    <w:rsid w:val="001D3709"/>
    <w:rsid w:val="001E14D6"/>
    <w:rsid w:val="00207409"/>
    <w:rsid w:val="00241A7C"/>
    <w:rsid w:val="002C6470"/>
    <w:rsid w:val="002F003E"/>
    <w:rsid w:val="00312705"/>
    <w:rsid w:val="00317598"/>
    <w:rsid w:val="00350382"/>
    <w:rsid w:val="0037284B"/>
    <w:rsid w:val="003815F3"/>
    <w:rsid w:val="004C3E2B"/>
    <w:rsid w:val="00530274"/>
    <w:rsid w:val="00656501"/>
    <w:rsid w:val="00675F7A"/>
    <w:rsid w:val="006A67DC"/>
    <w:rsid w:val="006C56CF"/>
    <w:rsid w:val="0076791B"/>
    <w:rsid w:val="00775752"/>
    <w:rsid w:val="0084417F"/>
    <w:rsid w:val="008976CC"/>
    <w:rsid w:val="0094427D"/>
    <w:rsid w:val="00956E09"/>
    <w:rsid w:val="00A4625E"/>
    <w:rsid w:val="00B23AB4"/>
    <w:rsid w:val="00B60DA6"/>
    <w:rsid w:val="00C57D4B"/>
    <w:rsid w:val="00CE117C"/>
    <w:rsid w:val="00D27B3C"/>
    <w:rsid w:val="00D30508"/>
    <w:rsid w:val="00DB1968"/>
    <w:rsid w:val="00DB4B3F"/>
    <w:rsid w:val="00DC1CA2"/>
    <w:rsid w:val="00E72F3A"/>
    <w:rsid w:val="00F779CD"/>
    <w:rsid w:val="00F92F42"/>
    <w:rsid w:val="00FE04BE"/>
  </w:rsids>
  <m:mathPr>
    <m:mathFont m:val="Cambria Math"/>
    <m:brkBin m:val="before"/>
    <m:brkBinSub m:val="--"/>
    <m:smallFrac m:val="0"/>
    <m:dispDef/>
    <m:lMargin m:val="0"/>
    <m:rMargin m:val="0"/>
    <m:defJc m:val="centerGroup"/>
    <m:wrapIndent m:val="1440"/>
    <m:intLim m:val="subSup"/>
    <m:naryLim m:val="undOvr"/>
  </m:mathPr>
  <w:themeFontLang w:val="nl-NL"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78C992-EEE7-4E93-8113-2A6516063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57D4B"/>
    <w:rPr>
      <w:color w:val="0563C1" w:themeColor="hyperlink"/>
      <w:u w:val="single"/>
    </w:rPr>
  </w:style>
  <w:style w:type="character" w:styleId="GevolgdeHyperlink">
    <w:name w:val="FollowedHyperlink"/>
    <w:basedOn w:val="Standaardalinea-lettertype"/>
    <w:uiPriority w:val="99"/>
    <w:semiHidden/>
    <w:unhideWhenUsed/>
    <w:rsid w:val="00C57D4B"/>
    <w:rPr>
      <w:color w:val="954F72" w:themeColor="followedHyperlink"/>
      <w:u w:val="single"/>
    </w:rPr>
  </w:style>
  <w:style w:type="table" w:styleId="Tabelraster">
    <w:name w:val="Table Grid"/>
    <w:basedOn w:val="Standaardtabel"/>
    <w:uiPriority w:val="39"/>
    <w:rsid w:val="00F779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1C6A6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C6A61"/>
  </w:style>
  <w:style w:type="paragraph" w:styleId="Voettekst">
    <w:name w:val="footer"/>
    <w:basedOn w:val="Standaard"/>
    <w:link w:val="VoettekstChar"/>
    <w:uiPriority w:val="99"/>
    <w:unhideWhenUsed/>
    <w:rsid w:val="001C6A6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C6A61"/>
  </w:style>
  <w:style w:type="paragraph" w:styleId="Geenafstand">
    <w:name w:val="No Spacing"/>
    <w:uiPriority w:val="1"/>
    <w:qFormat/>
    <w:rsid w:val="00DB4B3F"/>
    <w:pPr>
      <w:spacing w:after="0" w:line="240" w:lineRule="auto"/>
    </w:pPr>
  </w:style>
  <w:style w:type="paragraph" w:styleId="Ballontekst">
    <w:name w:val="Balloon Text"/>
    <w:basedOn w:val="Standaard"/>
    <w:link w:val="BallontekstChar"/>
    <w:uiPriority w:val="99"/>
    <w:semiHidden/>
    <w:unhideWhenUsed/>
    <w:rsid w:val="00165B45"/>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65B45"/>
    <w:rPr>
      <w:rFonts w:ascii="Segoe UI" w:hAnsi="Segoe UI" w:cs="Segoe UI"/>
      <w:sz w:val="18"/>
      <w:szCs w:val="18"/>
    </w:rPr>
  </w:style>
  <w:style w:type="paragraph" w:styleId="Tekstopmerking">
    <w:name w:val="annotation text"/>
    <w:basedOn w:val="Standaard"/>
    <w:link w:val="TekstopmerkingChar"/>
    <w:uiPriority w:val="99"/>
    <w:semiHidden/>
    <w:unhideWhenUsed/>
    <w:rsid w:val="00DC1CA2"/>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DC1CA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1395">
      <w:bodyDiv w:val="1"/>
      <w:marLeft w:val="0"/>
      <w:marRight w:val="0"/>
      <w:marTop w:val="0"/>
      <w:marBottom w:val="0"/>
      <w:divBdr>
        <w:top w:val="none" w:sz="0" w:space="0" w:color="auto"/>
        <w:left w:val="none" w:sz="0" w:space="0" w:color="auto"/>
        <w:bottom w:val="none" w:sz="0" w:space="0" w:color="auto"/>
        <w:right w:val="none" w:sz="0" w:space="0" w:color="auto"/>
      </w:divBdr>
    </w:div>
    <w:div w:id="1907063198">
      <w:bodyDiv w:val="1"/>
      <w:marLeft w:val="0"/>
      <w:marRight w:val="0"/>
      <w:marTop w:val="0"/>
      <w:marBottom w:val="0"/>
      <w:divBdr>
        <w:top w:val="none" w:sz="0" w:space="0" w:color="auto"/>
        <w:left w:val="none" w:sz="0" w:space="0" w:color="auto"/>
        <w:bottom w:val="none" w:sz="0" w:space="0" w:color="auto"/>
        <w:right w:val="none" w:sz="0" w:space="0" w:color="auto"/>
      </w:divBdr>
    </w:div>
    <w:div w:id="207696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vo.nl/onderwerpen/agrarisch-ondernemen/dieren/dierziektepreventie/diergezondheidsfonds" TargetMode="External"/><Relationship Id="rId3" Type="http://schemas.openxmlformats.org/officeDocument/2006/relationships/webSettings" Target="webSettings.xml"/><Relationship Id="rId7" Type="http://schemas.openxmlformats.org/officeDocument/2006/relationships/hyperlink" Target="https://www.rvo.nl/onderwerpen/agrarisch-ondernemen/dieren-houden/identificatie-en-registratie-dieren/bedrijfsstatus-varken"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youtube.com/watch?v=unYE8mYY6n8"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2037</Words>
  <Characters>11209</Characters>
  <Application>Microsoft Office Word</Application>
  <DocSecurity>4</DocSecurity>
  <Lines>93</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Henk Boelrijk (POV)</dc:creator>
  <cp:keywords/>
  <dc:description/>
  <cp:lastModifiedBy>Caroline van der Plas</cp:lastModifiedBy>
  <cp:revision>2</cp:revision>
  <dcterms:created xsi:type="dcterms:W3CDTF">2020-03-17T11:51:00Z</dcterms:created>
  <dcterms:modified xsi:type="dcterms:W3CDTF">2020-03-17T11:51:00Z</dcterms:modified>
</cp:coreProperties>
</file>